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Other: The Royal Society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outputs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outputs will be generated by the research that are of value to the public?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example, cover: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volume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type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quality, formats, standards documentation and metadata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methodologies for data collection and/or processing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source and trustworthiness of third party 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Using standardised and interchangeable data formats ensures the long-term usability of data. Clear and detailed data descriptions and annotation, together with user-friendly accompanying documentation on methods and contextual information, makes data easy to understand and interpret and therefore shareable and with long-lasting usability.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possible value could this hold for the public?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Example Answer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                Data generated by this project will consist of </w:t>
      </w:r>
      <w:r>
        <w:rPr>
          <w:i/>
        </w:rPr>
        <w:t xml:space="preserve">[content and file types e.g. English translations of archival material in Word .docx format or questionnaire responses in Excel .xlsx format]</w:t>
      </w:r>
      <w:r>
        <w:t xml:space="preserve">.
      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access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others be able to access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the data is of high public interest, how will it be made accessible not only for those in the same or linked field, but also to a wider public audience?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Specify whether any limits will be placed on the data to be shared, for example, for the purposes of safeguarding commercial interests, personal information, safety or security of the data.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and when will you make the data available?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Preservation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datasets be preserved to ensure they are of long-term benefit?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